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D3" w:rsidRDefault="00DA66D3" w:rsidP="00DA66D3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</w:p>
    <w:p w:rsidR="00DA66D3" w:rsidRDefault="00DA66D3" w:rsidP="00DA66D3">
      <w:pPr>
        <w:ind w:left="-284"/>
        <w:jc w:val="center"/>
        <w:rPr>
          <w:b/>
          <w:color w:val="1F497D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1AC8728D" wp14:editId="16DF4884">
            <wp:extent cx="10763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6D3" w:rsidRDefault="00DA66D3" w:rsidP="00DA66D3">
      <w:pPr>
        <w:pStyle w:val="a8"/>
        <w:jc w:val="center"/>
      </w:pPr>
      <w:r>
        <w:rPr>
          <w:b/>
          <w:color w:val="1F497D"/>
          <w:sz w:val="24"/>
          <w:szCs w:val="24"/>
        </w:rPr>
        <w:t xml:space="preserve">ПРЕСС-РЕЛИЗ </w:t>
      </w:r>
    </w:p>
    <w:p w:rsidR="00DA66D3" w:rsidRDefault="00DA66D3" w:rsidP="00DA66D3">
      <w:pPr>
        <w:pStyle w:val="a8"/>
        <w:jc w:val="center"/>
        <w:rPr>
          <w:i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8941E8" wp14:editId="35B22864">
                <wp:simplePos x="0" y="0"/>
                <wp:positionH relativeFrom="column">
                  <wp:posOffset>125095</wp:posOffset>
                </wp:positionH>
                <wp:positionV relativeFrom="paragraph">
                  <wp:posOffset>201930</wp:posOffset>
                </wp:positionV>
                <wp:extent cx="6186170" cy="2540"/>
                <wp:effectExtent l="6985" t="12065" r="36195" b="330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6170" cy="2540"/>
                        </a:xfrm>
                        <a:prstGeom prst="straightConnector1">
                          <a:avLst/>
                        </a:prstGeom>
                        <a:noFill/>
                        <a:ln w="12600" cap="sq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1565" dir="2700000" algn="ctr" rotWithShape="0">
                            <a:srgbClr val="243F6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9.85pt;margin-top:15.9pt;width:487.1pt;height: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" strokecolor="#1f497d" strokeweight=".35mm">
                <v:stroke joinstyle="miter" endcap="square"/>
                <v:shadow on="t" color="#243f60" offset=".62mm,.62mm"/>
              </v:shape>
            </w:pict>
          </mc:Fallback>
        </mc:AlternateContent>
      </w:r>
      <w:r>
        <w:rPr>
          <w:b/>
          <w:color w:val="1F497D"/>
          <w:sz w:val="24"/>
          <w:szCs w:val="24"/>
        </w:rPr>
        <w:t>ОТДЕЛЕНИЯ  ПЕНСИОННОГО  ФОНДА   РФ  ПО  АСТРАХАНСКОЙ  ОБЛАСТИ</w:t>
      </w:r>
    </w:p>
    <w:p w:rsidR="00663289" w:rsidRDefault="00663289" w:rsidP="00663289">
      <w:pPr>
        <w:pStyle w:val="a6"/>
        <w:spacing w:after="0"/>
        <w:jc w:val="right"/>
      </w:pPr>
      <w:r>
        <w:rPr>
          <w:i/>
          <w:szCs w:val="20"/>
        </w:rPr>
        <w:t xml:space="preserve">   414040, г. Астрахань</w:t>
      </w:r>
    </w:p>
    <w:p w:rsidR="00663289" w:rsidRPr="00025D45" w:rsidRDefault="00663289" w:rsidP="00663289">
      <w:pPr>
        <w:pStyle w:val="a6"/>
        <w:spacing w:after="0"/>
        <w:jc w:val="right"/>
        <w:rPr>
          <w:i/>
          <w:szCs w:val="20"/>
          <w:lang w:val="en-US"/>
        </w:rPr>
      </w:pPr>
      <w:r>
        <w:rPr>
          <w:i/>
          <w:szCs w:val="20"/>
        </w:rPr>
        <w:t xml:space="preserve">     ул. Победы/</w:t>
      </w:r>
      <w:proofErr w:type="spellStart"/>
      <w:r>
        <w:rPr>
          <w:i/>
          <w:szCs w:val="20"/>
        </w:rPr>
        <w:t>пл.К.Маркса</w:t>
      </w:r>
      <w:proofErr w:type="spellEnd"/>
      <w:r>
        <w:rPr>
          <w:i/>
          <w:szCs w:val="20"/>
        </w:rPr>
        <w:t xml:space="preserve"> 53, корп. </w:t>
      </w:r>
      <w:r>
        <w:rPr>
          <w:i/>
          <w:szCs w:val="20"/>
          <w:lang w:val="en-US"/>
        </w:rPr>
        <w:t>1/9</w:t>
      </w:r>
    </w:p>
    <w:p w:rsidR="00663289" w:rsidRDefault="00663289" w:rsidP="00663289">
      <w:pPr>
        <w:pStyle w:val="a6"/>
        <w:spacing w:after="0"/>
        <w:jc w:val="right"/>
        <w:rPr>
          <w:b/>
          <w:bCs/>
          <w:color w:val="000000"/>
          <w:szCs w:val="20"/>
          <w:lang w:val="en-US" w:eastAsia="he-IL" w:bidi="he-IL"/>
        </w:rPr>
      </w:pPr>
      <w:r>
        <w:rPr>
          <w:i/>
          <w:szCs w:val="20"/>
        </w:rPr>
        <w:t>т</w:t>
      </w:r>
      <w:r>
        <w:rPr>
          <w:i/>
          <w:szCs w:val="20"/>
          <w:lang w:val="en-US"/>
        </w:rPr>
        <w:t>/</w:t>
      </w:r>
      <w:r>
        <w:rPr>
          <w:i/>
          <w:szCs w:val="20"/>
        </w:rPr>
        <w:t>ф</w:t>
      </w:r>
      <w:r>
        <w:rPr>
          <w:i/>
          <w:szCs w:val="20"/>
          <w:lang w:val="en-US"/>
        </w:rPr>
        <w:t>. 25-15-10</w:t>
      </w:r>
    </w:p>
    <w:p w:rsidR="00663289" w:rsidRDefault="00663289" w:rsidP="00663289">
      <w:pPr>
        <w:spacing w:after="0" w:line="240" w:lineRule="auto"/>
        <w:ind w:left="567" w:firstLine="709"/>
        <w:jc w:val="right"/>
        <w:rPr>
          <w:color w:val="000000"/>
          <w:sz w:val="28"/>
          <w:szCs w:val="28"/>
        </w:rPr>
      </w:pPr>
      <w:r>
        <w:rPr>
          <w:b/>
          <w:bCs/>
          <w:color w:val="000000"/>
          <w:sz w:val="20"/>
          <w:szCs w:val="20"/>
          <w:lang w:val="en-US" w:eastAsia="he-IL" w:bidi="he-IL"/>
        </w:rPr>
        <w:t>E-mail:</w:t>
      </w:r>
      <w:r>
        <w:rPr>
          <w:color w:val="17365D"/>
          <w:sz w:val="20"/>
          <w:szCs w:val="20"/>
          <w:lang w:val="en-US" w:eastAsia="he-IL" w:bidi="he-IL"/>
        </w:rPr>
        <w:t xml:space="preserve"> 2201@040.pfr.ru</w:t>
      </w:r>
      <w:r w:rsidRPr="001662FF">
        <w:rPr>
          <w:b/>
          <w:bCs/>
          <w:color w:val="000000"/>
          <w:sz w:val="20"/>
          <w:szCs w:val="20"/>
          <w:lang w:val="en-US" w:eastAsia="he-IL" w:bidi="he-IL"/>
        </w:rPr>
        <w:t xml:space="preserve">                                                                                                                               </w:t>
      </w:r>
      <w:r>
        <w:rPr>
          <w:b/>
          <w:bCs/>
          <w:color w:val="000000"/>
          <w:sz w:val="20"/>
          <w:szCs w:val="20"/>
          <w:lang w:eastAsia="he-IL" w:bidi="he-IL"/>
        </w:rPr>
        <w:t>Сайт</w:t>
      </w:r>
      <w:r w:rsidRPr="001662FF">
        <w:rPr>
          <w:b/>
          <w:bCs/>
          <w:color w:val="000000"/>
          <w:sz w:val="20"/>
          <w:szCs w:val="20"/>
          <w:lang w:val="en-US" w:eastAsia="he-IL" w:bidi="he-IL"/>
        </w:rPr>
        <w:t>:</w:t>
      </w:r>
      <w:r w:rsidRPr="001662FF">
        <w:rPr>
          <w:color w:val="17365D"/>
          <w:sz w:val="20"/>
          <w:szCs w:val="20"/>
          <w:lang w:val="en-US" w:eastAsia="he-IL" w:bidi="he-IL"/>
        </w:rPr>
        <w:t xml:space="preserve"> </w:t>
      </w:r>
      <w:hyperlink r:id="rId6" w:history="1">
        <w:r w:rsidRPr="004B0588">
          <w:rPr>
            <w:rStyle w:val="a5"/>
            <w:lang w:val="en-US" w:eastAsia="he-IL" w:bidi="he-IL"/>
          </w:rPr>
          <w:t>www</w:t>
        </w:r>
      </w:hyperlink>
      <w:hyperlink r:id="rId7" w:history="1">
        <w:r w:rsidRPr="001662FF">
          <w:rPr>
            <w:rStyle w:val="a5"/>
            <w:lang w:val="en-US" w:eastAsia="he-IL" w:bidi="he-IL"/>
          </w:rPr>
          <w:t>.</w:t>
        </w:r>
      </w:hyperlink>
      <w:hyperlink r:id="rId8" w:history="1">
        <w:proofErr w:type="gramStart"/>
        <w:r>
          <w:rPr>
            <w:rStyle w:val="a5"/>
            <w:lang w:val="en-US" w:eastAsia="he-IL" w:bidi="he-IL"/>
          </w:rPr>
          <w:t>pfr</w:t>
        </w:r>
        <w:proofErr w:type="gramEnd"/>
      </w:hyperlink>
      <w:r w:rsidRPr="003E00D9">
        <w:rPr>
          <w:rStyle w:val="a5"/>
          <w:lang w:eastAsia="he-IL" w:bidi="he-IL"/>
        </w:rPr>
        <w:t>.</w:t>
      </w:r>
      <w:proofErr w:type="spellStart"/>
      <w:r>
        <w:rPr>
          <w:rStyle w:val="a5"/>
          <w:lang w:val="en-US" w:eastAsia="he-IL" w:bidi="he-IL"/>
        </w:rPr>
        <w:t>gov</w:t>
      </w:r>
      <w:proofErr w:type="spellEnd"/>
      <w:r w:rsidRPr="003E00D9">
        <w:rPr>
          <w:rStyle w:val="a5"/>
          <w:lang w:eastAsia="he-IL" w:bidi="he-IL"/>
        </w:rPr>
        <w:t>.</w:t>
      </w:r>
      <w:proofErr w:type="spellStart"/>
      <w:r>
        <w:rPr>
          <w:rStyle w:val="a5"/>
          <w:lang w:val="en-US" w:eastAsia="he-IL" w:bidi="he-IL"/>
        </w:rPr>
        <w:t>ru</w:t>
      </w:r>
      <w:proofErr w:type="spellEnd"/>
    </w:p>
    <w:p w:rsidR="00663289" w:rsidRDefault="00663289" w:rsidP="00663289">
      <w:pPr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12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A66D3" w:rsidRPr="00DA66D3" w:rsidRDefault="00713AD3" w:rsidP="00DA66D3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Необходимые условия для н</w:t>
      </w:r>
      <w:r w:rsidR="00DA66D3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азн</w:t>
      </w: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ачения</w:t>
      </w:r>
      <w:r w:rsidR="00DA66D3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пенси</w:t>
      </w:r>
      <w:r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>и</w:t>
      </w:r>
      <w:r w:rsidR="00DA66D3">
        <w:rPr>
          <w:rFonts w:ascii="Times New Roman" w:eastAsia="Times New Roman" w:hAnsi="Times New Roman" w:cs="Times New Roman"/>
          <w:b/>
          <w:bCs/>
          <w:color w:val="212121"/>
          <w:kern w:val="36"/>
          <w:sz w:val="28"/>
          <w:szCs w:val="28"/>
          <w:lang w:eastAsia="ru-RU"/>
        </w:rPr>
        <w:t xml:space="preserve"> в 2021 году</w:t>
      </w:r>
    </w:p>
    <w:p w:rsidR="00DA66D3" w:rsidRPr="00DA66D3" w:rsidRDefault="00DA66D3" w:rsidP="00DA66D3">
      <w:pPr>
        <w:pStyle w:val="a3"/>
        <w:shd w:val="clear" w:color="auto" w:fill="FFFFFF"/>
        <w:spacing w:before="0" w:beforeAutospacing="0"/>
        <w:jc w:val="both"/>
        <w:rPr>
          <w:b/>
          <w:color w:val="212121"/>
        </w:rPr>
      </w:pPr>
      <w:r w:rsidRPr="00DA66D3">
        <w:rPr>
          <w:rStyle w:val="a4"/>
          <w:b w:val="0"/>
          <w:color w:val="212121"/>
        </w:rPr>
        <w:t>Требования к этим показателям будут возрастать ежегодно, вплоть до 2025 года. Если в 2020 году страховая пенсия назначалась тем, кто имел минимум 11 лет и 18,6 пенсионных коэффициентов, то в 2021 году этот порог вырастает до 12 лет и 21 коэффициента. Будущие пенсионеры должны обратить на это внимание. При нехватке показателей назначение страховой пенсии отодвинется.</w:t>
      </w:r>
    </w:p>
    <w:p w:rsidR="00DA66D3" w:rsidRPr="00DA66D3" w:rsidRDefault="00DA66D3" w:rsidP="00DA66D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DA66D3">
        <w:rPr>
          <w:color w:val="212121"/>
        </w:rPr>
        <w:t>При этом</w:t>
      </w:r>
      <w:proofErr w:type="gramStart"/>
      <w:r w:rsidRPr="00DA66D3">
        <w:rPr>
          <w:color w:val="212121"/>
        </w:rPr>
        <w:t>,</w:t>
      </w:r>
      <w:proofErr w:type="gramEnd"/>
      <w:r w:rsidRPr="00DA66D3">
        <w:rPr>
          <w:color w:val="212121"/>
        </w:rPr>
        <w:t xml:space="preserve"> важны не только стаж и заработок, а также периоды ухода за детьми, военная служба по призыву и другие факторы. Все эти показатели формируют индивидуальные пенсионные коэффициенты. Но основная их составляющая – суммы отчислений работодателя. Чем больше официальная зарплата, тем больше работодатель перечисляет взносов на будущую пенсию. Максимально за 2021 год можно заработать 10 коэффициентов, а при отчислениях с «</w:t>
      </w:r>
      <w:proofErr w:type="spellStart"/>
      <w:r w:rsidRPr="00DA66D3">
        <w:rPr>
          <w:color w:val="212121"/>
        </w:rPr>
        <w:t>минималки</w:t>
      </w:r>
      <w:proofErr w:type="spellEnd"/>
      <w:r w:rsidRPr="00DA66D3">
        <w:rPr>
          <w:color w:val="212121"/>
        </w:rPr>
        <w:t>» лишь 1.</w:t>
      </w:r>
    </w:p>
    <w:p w:rsidR="00DA66D3" w:rsidRPr="00DA66D3" w:rsidRDefault="00DA66D3" w:rsidP="00DA66D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DA66D3">
        <w:rPr>
          <w:color w:val="212121"/>
        </w:rPr>
        <w:t>Учитываются и «</w:t>
      </w:r>
      <w:proofErr w:type="spellStart"/>
      <w:r w:rsidRPr="00DA66D3">
        <w:rPr>
          <w:color w:val="212121"/>
        </w:rPr>
        <w:t>нестраховые</w:t>
      </w:r>
      <w:proofErr w:type="spellEnd"/>
      <w:r w:rsidRPr="00DA66D3">
        <w:rPr>
          <w:color w:val="212121"/>
        </w:rPr>
        <w:t>» периоды социально значимой деятельности человека. К примеру, за год военной службы по призыву начисляется 1,8 коэффициента. Столько же можно заработать, ухаживая за инвалидом 1 группы или пожилым человеком старше 80 лет, либо ребенком-инвалидом. Мать, ухаживая за своим первенцем, также за год получает 1,8 коэффициента. Уход за вторым и третьим ребенком оценивается значительно выше - 3,6 и 5,4 соответственно.</w:t>
      </w:r>
    </w:p>
    <w:p w:rsidR="00DA66D3" w:rsidRPr="00DA66D3" w:rsidRDefault="00DA66D3" w:rsidP="00DA66D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DA66D3">
        <w:rPr>
          <w:color w:val="212121"/>
        </w:rPr>
        <w:t xml:space="preserve">До 2025 года требования к трудовому минимуму будут ежегодно возрастать – по 1 году и на 2,4 пенсионных коэффициента за год до достижения 15 лет и 30 коэффициентов. Поэтому </w:t>
      </w:r>
      <w:proofErr w:type="spellStart"/>
      <w:r w:rsidRPr="00DA66D3">
        <w:rPr>
          <w:color w:val="212121"/>
        </w:rPr>
        <w:t>амурчанам</w:t>
      </w:r>
      <w:proofErr w:type="spellEnd"/>
      <w:r w:rsidRPr="00DA66D3">
        <w:rPr>
          <w:color w:val="212121"/>
        </w:rPr>
        <w:t>, которые собираются в ближайшее время обращаться за назначением страховой пенсии по старости, необходимо следить за тем, чтобы их заработанные права соответствовали необходимым требованиям.</w:t>
      </w:r>
    </w:p>
    <w:p w:rsidR="00DA66D3" w:rsidRPr="00DA66D3" w:rsidRDefault="00DA66D3" w:rsidP="00DA66D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DA66D3">
        <w:rPr>
          <w:color w:val="212121"/>
        </w:rPr>
        <w:t>Если накопленных показателей не будет хватать, назначение страховой пенсии отодвинется, пока трудовой минимум не будет заработан. Если спустя 5 лет после достижения общеустановленного пенсионного возраста с учетом его постепенного повышения этого достичь не удастся, то вместо страховой пенсии будет назначена социальная, сумма которой небольшая.</w:t>
      </w:r>
    </w:p>
    <w:p w:rsidR="00DA66D3" w:rsidRPr="00DA66D3" w:rsidRDefault="00DA66D3" w:rsidP="00DA66D3">
      <w:pPr>
        <w:pStyle w:val="a3"/>
        <w:shd w:val="clear" w:color="auto" w:fill="FFFFFF"/>
        <w:spacing w:before="0" w:beforeAutospacing="0"/>
        <w:jc w:val="both"/>
        <w:rPr>
          <w:color w:val="212121"/>
        </w:rPr>
      </w:pPr>
      <w:r w:rsidRPr="00DA66D3">
        <w:rPr>
          <w:color w:val="212121"/>
        </w:rPr>
        <w:lastRenderedPageBreak/>
        <w:t>Узнать количество уже накопленных индивидуальных пенсионных коэффициентов можно в </w:t>
      </w:r>
      <w:hyperlink r:id="rId9" w:history="1">
        <w:r w:rsidRPr="00DA66D3">
          <w:rPr>
            <w:rStyle w:val="a5"/>
            <w:color w:val="212121"/>
          </w:rPr>
          <w:t>Личном кабинете</w:t>
        </w:r>
      </w:hyperlink>
      <w:r w:rsidRPr="00DA66D3">
        <w:rPr>
          <w:color w:val="212121"/>
        </w:rPr>
        <w:t> на сайте ПФР, а также на </w:t>
      </w:r>
      <w:hyperlink r:id="rId10" w:history="1">
        <w:r w:rsidRPr="00DA66D3">
          <w:rPr>
            <w:rStyle w:val="a5"/>
            <w:color w:val="212121"/>
          </w:rPr>
          <w:t xml:space="preserve">портале </w:t>
        </w:r>
        <w:proofErr w:type="spellStart"/>
        <w:r w:rsidRPr="00DA66D3">
          <w:rPr>
            <w:rStyle w:val="a5"/>
            <w:color w:val="212121"/>
          </w:rPr>
          <w:t>Госулуг</w:t>
        </w:r>
        <w:proofErr w:type="spellEnd"/>
      </w:hyperlink>
      <w:r w:rsidRPr="00DA66D3">
        <w:rPr>
          <w:color w:val="212121"/>
        </w:rPr>
        <w:t>, заказав извещение из индивидуального лицевого счета. При этом</w:t>
      </w:r>
      <w:proofErr w:type="gramStart"/>
      <w:r w:rsidRPr="00DA66D3">
        <w:rPr>
          <w:color w:val="212121"/>
        </w:rPr>
        <w:t>,</w:t>
      </w:r>
      <w:proofErr w:type="gramEnd"/>
      <w:r w:rsidRPr="00DA66D3">
        <w:rPr>
          <w:color w:val="212121"/>
        </w:rPr>
        <w:t xml:space="preserve"> если гражданин считает, что какие-либо сведения не учтены или учтены не полностью, у него появляется возможность заблаговременно обратиться к работодателю для уточнения данных.</w:t>
      </w:r>
    </w:p>
    <w:p w:rsidR="00DA66D3" w:rsidRDefault="00DA66D3" w:rsidP="00DA66D3">
      <w:pPr>
        <w:pStyle w:val="a3"/>
        <w:shd w:val="clear" w:color="auto" w:fill="FFFFFF"/>
        <w:spacing w:before="0" w:beforeAutospacing="0"/>
        <w:jc w:val="both"/>
        <w:rPr>
          <w:color w:val="212121"/>
          <w:shd w:val="clear" w:color="auto" w:fill="FFFFFF"/>
        </w:rPr>
      </w:pPr>
      <w:r>
        <w:rPr>
          <w:rStyle w:val="a4"/>
          <w:color w:val="212121"/>
        </w:rPr>
        <w:t xml:space="preserve">Телефон </w:t>
      </w:r>
      <w:proofErr w:type="gramStart"/>
      <w:r>
        <w:rPr>
          <w:rStyle w:val="a4"/>
          <w:color w:val="212121"/>
        </w:rPr>
        <w:t>регионального</w:t>
      </w:r>
      <w:proofErr w:type="gramEnd"/>
      <w:r>
        <w:rPr>
          <w:rStyle w:val="a4"/>
          <w:color w:val="212121"/>
        </w:rPr>
        <w:t xml:space="preserve"> контакт-центра </w:t>
      </w:r>
      <w:r w:rsidRPr="00DA66D3">
        <w:rPr>
          <w:rStyle w:val="a4"/>
          <w:color w:val="212121"/>
          <w:sz w:val="26"/>
          <w:szCs w:val="26"/>
          <w:shd w:val="clear" w:color="auto" w:fill="FFFFFF"/>
        </w:rPr>
        <w:t>8 800 600 0574</w:t>
      </w:r>
      <w:r w:rsidRPr="00DA66D3">
        <w:rPr>
          <w:rStyle w:val="a4"/>
          <w:color w:val="212121"/>
          <w:shd w:val="clear" w:color="auto" w:fill="FFFFFF"/>
        </w:rPr>
        <w:t>  (звонок бесплатный)  </w:t>
      </w:r>
      <w:r w:rsidRPr="00DA66D3">
        <w:rPr>
          <w:color w:val="212121"/>
          <w:shd w:val="clear" w:color="auto" w:fill="FFFFFF"/>
        </w:rPr>
        <w:t>или</w:t>
      </w:r>
    </w:p>
    <w:p w:rsidR="00DA66D3" w:rsidRPr="00DA66D3" w:rsidRDefault="00DA66D3" w:rsidP="00DA66D3">
      <w:pPr>
        <w:pStyle w:val="a3"/>
        <w:shd w:val="clear" w:color="auto" w:fill="FFFFFF"/>
        <w:spacing w:before="0" w:beforeAutospacing="0"/>
        <w:jc w:val="both"/>
        <w:rPr>
          <w:rStyle w:val="a4"/>
          <w:color w:val="212121"/>
          <w:sz w:val="26"/>
          <w:szCs w:val="26"/>
        </w:rPr>
      </w:pPr>
      <w:r w:rsidRPr="00DA66D3">
        <w:rPr>
          <w:rStyle w:val="a4"/>
          <w:color w:val="212121"/>
          <w:shd w:val="clear" w:color="auto" w:fill="FFFFFF"/>
        </w:rPr>
        <w:t xml:space="preserve"> </w:t>
      </w:r>
      <w:r w:rsidRPr="00DA66D3">
        <w:rPr>
          <w:rStyle w:val="a4"/>
          <w:color w:val="212121"/>
          <w:sz w:val="26"/>
          <w:szCs w:val="26"/>
          <w:shd w:val="clear" w:color="auto" w:fill="FFFFFF"/>
        </w:rPr>
        <w:t>61-19-44</w:t>
      </w:r>
    </w:p>
    <w:p w:rsidR="00090A9B" w:rsidRDefault="00090A9B"/>
    <w:sectPr w:rsidR="00090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D3"/>
    <w:rsid w:val="00090A9B"/>
    <w:rsid w:val="00663289"/>
    <w:rsid w:val="00713AD3"/>
    <w:rsid w:val="00DA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6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6D3"/>
    <w:rPr>
      <w:b/>
      <w:bCs/>
    </w:rPr>
  </w:style>
  <w:style w:type="character" w:styleId="a5">
    <w:name w:val="Hyperlink"/>
    <w:basedOn w:val="a0"/>
    <w:uiPriority w:val="99"/>
    <w:semiHidden/>
    <w:unhideWhenUsed/>
    <w:rsid w:val="00DA66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6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basedOn w:val="a"/>
    <w:link w:val="a7"/>
    <w:rsid w:val="00DA66D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A66D3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a8">
    <w:name w:val="Заголовок"/>
    <w:basedOn w:val="a"/>
    <w:next w:val="a6"/>
    <w:rsid w:val="00DA66D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A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A6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6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6D3"/>
    <w:rPr>
      <w:b/>
      <w:bCs/>
    </w:rPr>
  </w:style>
  <w:style w:type="character" w:styleId="a5">
    <w:name w:val="Hyperlink"/>
    <w:basedOn w:val="a0"/>
    <w:uiPriority w:val="99"/>
    <w:semiHidden/>
    <w:unhideWhenUsed/>
    <w:rsid w:val="00DA66D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66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basedOn w:val="a"/>
    <w:link w:val="a7"/>
    <w:rsid w:val="00DA66D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A66D3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a8">
    <w:name w:val="Заголовок"/>
    <w:basedOn w:val="a"/>
    <w:next w:val="a6"/>
    <w:rsid w:val="00DA66D3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A6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6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frf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pf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Ткачёва Ирина Константиновна</dc:creator>
  <cp:lastModifiedBy>Ткачёва Ирина Константиновна</cp:lastModifiedBy>
  <cp:revision>3</cp:revision>
  <dcterms:created xsi:type="dcterms:W3CDTF">2021-01-26T07:10:00Z</dcterms:created>
  <dcterms:modified xsi:type="dcterms:W3CDTF">2021-01-28T05:57:00Z</dcterms:modified>
</cp:coreProperties>
</file>