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5E" w:rsidRDefault="00A61D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1D5E" w:rsidRDefault="00B142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 главы администрации </w:t>
      </w:r>
    </w:p>
    <w:p w:rsidR="00A61D5E" w:rsidRDefault="00B142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муниципального образования «Началовский сельсовет» и членов его семьи  за период с 1 января по 31 декабря 20</w:t>
      </w:r>
      <w:r w:rsidRPr="00B14258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года</w:t>
      </w:r>
    </w:p>
    <w:p w:rsidR="00A61D5E" w:rsidRDefault="00A61D5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35" w:type="dxa"/>
        <w:tblInd w:w="26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1"/>
        <w:gridCol w:w="1130"/>
        <w:gridCol w:w="1417"/>
        <w:gridCol w:w="1015"/>
        <w:gridCol w:w="1388"/>
        <w:gridCol w:w="1332"/>
        <w:gridCol w:w="1558"/>
        <w:gridCol w:w="1046"/>
        <w:gridCol w:w="1348"/>
      </w:tblGrid>
      <w:tr w:rsidR="00A61D5E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A61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Деклари рованный годовой доход за 20</w:t>
            </w:r>
            <w:r w:rsidRPr="00B1425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61D5E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A61D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A61D5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и марка</w:t>
            </w:r>
            <w:r>
              <w:rPr>
                <w:rFonts w:ascii="Times New Roman" w:hAnsi="Times New Roman" w:cs="Times New Roman"/>
              </w:rPr>
              <w:t xml:space="preserve"> транспортных средств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61D5E">
        <w:trPr>
          <w:trHeight w:val="24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Вакуленко Виктор Николаевич</w:t>
            </w:r>
          </w:p>
          <w:p w:rsidR="00A61D5E" w:rsidRDefault="00A61D5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537207,52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для ИЖД и ведения ЛПХ</w:t>
            </w:r>
          </w:p>
          <w:p w:rsidR="00A61D5E" w:rsidRDefault="00A61D5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1760,0</w:t>
            </w:r>
          </w:p>
          <w:p w:rsidR="00A61D5E" w:rsidRDefault="00A61D5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61D5E" w:rsidRDefault="00A61D5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61D5E" w:rsidRDefault="00A61D5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61D5E" w:rsidRDefault="00A61D5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179,9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A61D5E" w:rsidRDefault="00A61D5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61D5E" w:rsidRDefault="00A61D5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61D5E" w:rsidRDefault="00A61D5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61D5E" w:rsidRDefault="00A61D5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</w:tbl>
    <w:p w:rsidR="00A61D5E" w:rsidRDefault="00A61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D5E" w:rsidRDefault="00B142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79"/>
      <w:bookmarkEnd w:id="0"/>
      <w:r>
        <w:rPr>
          <w:rFonts w:ascii="Times New Roman" w:hAnsi="Times New Roman" w:cs="Times New Roman"/>
        </w:rPr>
        <w:t xml:space="preserve">Сведения об источниках получения </w:t>
      </w:r>
      <w:r>
        <w:rPr>
          <w:rFonts w:ascii="Times New Roman" w:hAnsi="Times New Roman" w:cs="Times New Roman"/>
        </w:rPr>
        <w:t xml:space="preserve">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</w:t>
      </w:r>
      <w:r>
        <w:rPr>
          <w:rFonts w:ascii="Times New Roman" w:hAnsi="Times New Roman" w:cs="Times New Roman"/>
        </w:rPr>
        <w:t>таких сделок превышает общий доход лица, замещающего муниципальную должность  главы администрации муниципального образования «Началовский сельсовет»  его супруги, несовершеннолетних детей за три последних года, предшествующих отчетному периоду</w:t>
      </w:r>
    </w:p>
    <w:p w:rsidR="00A61D5E" w:rsidRDefault="00A61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930" w:type="dxa"/>
        <w:tblInd w:w="403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4816"/>
        <w:gridCol w:w="4570"/>
      </w:tblGrid>
      <w:tr w:rsidR="00A61D5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A61D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Имущество,</w:t>
            </w:r>
            <w:r>
              <w:rPr>
                <w:rFonts w:ascii="Times New Roman" w:hAnsi="Times New Roman" w:cs="Times New Roman"/>
              </w:rPr>
              <w:t xml:space="preserve">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A61D5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Вакуленко Виктор Николаевич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A61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D5E" w:rsidRDefault="00A61D5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D5E" w:rsidRDefault="00A61D5E">
      <w:pPr>
        <w:rPr>
          <w:sz w:val="20"/>
          <w:szCs w:val="20"/>
        </w:rPr>
      </w:pPr>
    </w:p>
    <w:p w:rsidR="00A61D5E" w:rsidRDefault="00B142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  </w:t>
      </w:r>
      <w:r>
        <w:rPr>
          <w:rFonts w:ascii="Times New Roman" w:hAnsi="Times New Roman"/>
        </w:rPr>
        <w:t xml:space="preserve">муниципальных служащих, замещающих должности муниципальной </w:t>
      </w:r>
    </w:p>
    <w:p w:rsidR="00A61D5E" w:rsidRDefault="00B142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службы в  </w:t>
      </w:r>
      <w:r>
        <w:rPr>
          <w:rFonts w:ascii="Times New Roman" w:hAnsi="Times New Roman" w:cs="Times New Roman"/>
        </w:rPr>
        <w:t xml:space="preserve">администрации муниципального образования «Началовский сельсовет»,  а также их супруга (супруги) и  </w:t>
      </w:r>
    </w:p>
    <w:p w:rsidR="00A61D5E" w:rsidRDefault="00B142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несовершеннолетних детей   за период с 1 января по 31 декабря 20</w:t>
      </w:r>
      <w:r w:rsidRPr="00B14258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года</w:t>
      </w:r>
    </w:p>
    <w:p w:rsidR="00A61D5E" w:rsidRDefault="00A61D5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35" w:type="dxa"/>
        <w:tblInd w:w="26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2"/>
        <w:gridCol w:w="1129"/>
        <w:gridCol w:w="1417"/>
        <w:gridCol w:w="1015"/>
        <w:gridCol w:w="1388"/>
        <w:gridCol w:w="1332"/>
        <w:gridCol w:w="1558"/>
        <w:gridCol w:w="1046"/>
        <w:gridCol w:w="1348"/>
      </w:tblGrid>
      <w:tr w:rsidR="00A61D5E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Ф.И.О, должность лица, </w:t>
            </w:r>
          </w:p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чьи сведения размещаются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Деклари рованный </w:t>
            </w:r>
            <w:r>
              <w:rPr>
                <w:rFonts w:ascii="Times New Roman" w:hAnsi="Times New Roman" w:cs="Times New Roman"/>
              </w:rPr>
              <w:lastRenderedPageBreak/>
              <w:t>годовой доход за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B1425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Перечень объектов недвижимого имущества и транспортных средств, принадлежащих на праве </w:t>
            </w:r>
            <w:r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Перечень объектов недвижимого имущества, находящихся в пользовании</w:t>
            </w:r>
          </w:p>
        </w:tc>
      </w:tr>
      <w:tr w:rsidR="00A61D5E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A61D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A61D5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вид и </w:t>
            </w:r>
            <w:r>
              <w:rPr>
                <w:rFonts w:ascii="Times New Roman" w:hAnsi="Times New Roman" w:cs="Times New Roman"/>
              </w:rPr>
              <w:t>марка транспортных средств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61D5E">
        <w:trPr>
          <w:trHeight w:val="24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Лисицкая Марина Михайловна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534671,57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61D5E">
        <w:trPr>
          <w:trHeight w:val="24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61D5E">
        <w:trPr>
          <w:trHeight w:val="240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A61D5E" w:rsidRDefault="00A61D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1D5E" w:rsidRDefault="00A61D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1D5E" w:rsidRDefault="00B14258">
      <w:pPr>
        <w:tabs>
          <w:tab w:val="left" w:pos="36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</w:t>
      </w:r>
      <w:r>
        <w:rPr>
          <w:sz w:val="20"/>
          <w:szCs w:val="20"/>
        </w:rPr>
        <w:t xml:space="preserve">ах организаций, если общая сумма таких сделок превышает общий доход лица, замещающих должности муниципальной службы в администрации муниципального образования «Началовский сельсовет», </w:t>
      </w:r>
      <w:r>
        <w:rPr>
          <w:sz w:val="20"/>
          <w:szCs w:val="20"/>
        </w:rPr>
        <w:t xml:space="preserve"> а также их супруга (супруги) и несовершеннолетних детей за три последни</w:t>
      </w:r>
      <w:r>
        <w:rPr>
          <w:sz w:val="20"/>
          <w:szCs w:val="20"/>
        </w:rPr>
        <w:t>х года, предшествующих отчетному периоду</w:t>
      </w:r>
    </w:p>
    <w:p w:rsidR="00A61D5E" w:rsidRDefault="00A61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930" w:type="dxa"/>
        <w:tblInd w:w="403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4816"/>
        <w:gridCol w:w="4570"/>
      </w:tblGrid>
      <w:tr w:rsidR="00A61D5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</w:t>
            </w:r>
            <w:r>
              <w:rPr>
                <w:rFonts w:ascii="Times New Roman" w:hAnsi="Times New Roman" w:cs="Times New Roman"/>
              </w:rPr>
              <w:t xml:space="preserve">оду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A61D5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Лисицкая Марина Михайловна</w:t>
            </w:r>
          </w:p>
          <w:p w:rsidR="00A61D5E" w:rsidRDefault="00B142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МО «Началовский сельсовет»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A61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5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A61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5E"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A61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D5E" w:rsidRDefault="00A61D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1D5E" w:rsidRDefault="00A61D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1D5E" w:rsidRDefault="00B142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   </w:t>
      </w:r>
      <w:r>
        <w:rPr>
          <w:rFonts w:ascii="Times New Roman" w:hAnsi="Times New Roman"/>
        </w:rPr>
        <w:t xml:space="preserve">муниципальных служащих, замещающих должности муниципальной </w:t>
      </w:r>
    </w:p>
    <w:p w:rsidR="00A61D5E" w:rsidRDefault="00B142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службы в  </w:t>
      </w:r>
      <w:r>
        <w:rPr>
          <w:rFonts w:ascii="Times New Roman" w:hAnsi="Times New Roman" w:cs="Times New Roman"/>
        </w:rPr>
        <w:t xml:space="preserve">администрации муниципального образования «Началовский сельсовет»,  а также их супруга (супруги) и </w:t>
      </w:r>
    </w:p>
    <w:p w:rsidR="00A61D5E" w:rsidRDefault="00B142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несовершен</w:t>
      </w:r>
      <w:r>
        <w:rPr>
          <w:rFonts w:ascii="Times New Roman" w:hAnsi="Times New Roman" w:cs="Times New Roman"/>
        </w:rPr>
        <w:t>нолетних детей  за период с 1 января по 31 декабря 20</w:t>
      </w:r>
      <w:r w:rsidRPr="00B14258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года</w:t>
      </w:r>
    </w:p>
    <w:p w:rsidR="00A61D5E" w:rsidRDefault="00A61D5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35" w:type="dxa"/>
        <w:tblInd w:w="26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4"/>
        <w:gridCol w:w="1086"/>
        <w:gridCol w:w="1998"/>
        <w:gridCol w:w="975"/>
        <w:gridCol w:w="1376"/>
        <w:gridCol w:w="1332"/>
        <w:gridCol w:w="1510"/>
        <w:gridCol w:w="998"/>
        <w:gridCol w:w="1346"/>
      </w:tblGrid>
      <w:tr w:rsidR="00A61D5E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Ф.И.О, должность лица, </w:t>
            </w:r>
          </w:p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чьи сведения размещаются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Деклари рованный годовой доход за 20</w:t>
            </w:r>
            <w:r w:rsidRPr="00B1425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</w:t>
            </w:r>
            <w:r>
              <w:rPr>
                <w:rFonts w:ascii="Times New Roman" w:hAnsi="Times New Roman" w:cs="Times New Roman"/>
              </w:rPr>
              <w:t>нности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61D5E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A61D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A61D5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61D5E">
        <w:trPr>
          <w:trHeight w:val="24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Тумашова Эльвина </w:t>
            </w:r>
            <w:r>
              <w:rPr>
                <w:sz w:val="20"/>
                <w:szCs w:val="20"/>
              </w:rPr>
              <w:t>Рафиковна</w:t>
            </w:r>
          </w:p>
          <w:p w:rsidR="00A61D5E" w:rsidRDefault="00B1425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управлению имуществом и развитию территории администрации МО «Началовский сельсовет»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202000,00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A61D5E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  <w:r>
              <w:rPr>
                <w:rFonts w:eastAsia="Calibri"/>
                <w:sz w:val="20"/>
                <w:szCs w:val="20"/>
              </w:rPr>
              <w:t>Рено-Логан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  <w:tr w:rsidR="00A61D5E">
        <w:trPr>
          <w:trHeight w:val="14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488653,74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A61D5E" w:rsidRDefault="00A61D5E">
            <w:pPr>
              <w:jc w:val="center"/>
              <w:rPr>
                <w:sz w:val="20"/>
                <w:szCs w:val="20"/>
              </w:rPr>
            </w:pPr>
          </w:p>
          <w:p w:rsidR="00A61D5E" w:rsidRDefault="00B1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>сельскохозяйственного использования</w:t>
            </w:r>
          </w:p>
          <w:p w:rsidR="00A61D5E" w:rsidRDefault="00A61D5E">
            <w:pPr>
              <w:jc w:val="center"/>
              <w:rPr>
                <w:sz w:val="20"/>
                <w:szCs w:val="20"/>
              </w:rPr>
            </w:pPr>
          </w:p>
          <w:p w:rsidR="00A61D5E" w:rsidRDefault="00B1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</w:t>
            </w:r>
          </w:p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61D5E" w:rsidRDefault="00B1425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23600,00</w:t>
            </w:r>
          </w:p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61D5E" w:rsidRDefault="00B1425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61D5E" w:rsidRDefault="00B1425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61D5E" w:rsidRDefault="00B1425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A61D5E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  <w:tr w:rsidR="00A61D5E">
        <w:trPr>
          <w:trHeight w:val="24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A61D5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A61D5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A61D5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  <w:tr w:rsidR="00A61D5E">
        <w:trPr>
          <w:trHeight w:val="24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A61D5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A61D5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A61D5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</w:tbl>
    <w:p w:rsidR="00A61D5E" w:rsidRDefault="00A61D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1D5E" w:rsidRDefault="00A61D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1D5E" w:rsidRDefault="00B14258">
      <w:pPr>
        <w:tabs>
          <w:tab w:val="left" w:pos="36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</w:t>
      </w:r>
      <w:r>
        <w:rPr>
          <w:sz w:val="20"/>
          <w:szCs w:val="20"/>
        </w:rPr>
        <w:t xml:space="preserve">ах организаций, если общая сумма таких сделок превышает общий доход лица, замещающих должности муниципальной службы в администрации муниципального образования «Началовский сельсовет», </w:t>
      </w:r>
      <w:r>
        <w:rPr>
          <w:sz w:val="20"/>
          <w:szCs w:val="20"/>
        </w:rPr>
        <w:t xml:space="preserve"> а также их супруга (супруги) и несовершеннолетних детей за три последни</w:t>
      </w:r>
      <w:r>
        <w:rPr>
          <w:sz w:val="20"/>
          <w:szCs w:val="20"/>
        </w:rPr>
        <w:t>х года, предшествующих отчетному периоду</w:t>
      </w:r>
    </w:p>
    <w:p w:rsidR="00A61D5E" w:rsidRDefault="00A61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930" w:type="dxa"/>
        <w:tblInd w:w="403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4816"/>
        <w:gridCol w:w="4570"/>
      </w:tblGrid>
      <w:tr w:rsidR="00A61D5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Ф.И.О.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Источник получения средств, за счет которых </w:t>
            </w:r>
            <w:r>
              <w:rPr>
                <w:rFonts w:ascii="Times New Roman" w:hAnsi="Times New Roman" w:cs="Times New Roman"/>
              </w:rPr>
              <w:t xml:space="preserve">приобретено имущество </w:t>
            </w:r>
          </w:p>
        </w:tc>
      </w:tr>
      <w:tr w:rsidR="00A61D5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Тумашова Эльвина Рафиковна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A61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5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A61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5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A61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5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A61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D5E" w:rsidRDefault="00A61D5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D5E" w:rsidRDefault="00A61D5E">
      <w:pPr>
        <w:rPr>
          <w:sz w:val="20"/>
          <w:szCs w:val="20"/>
        </w:rPr>
      </w:pPr>
    </w:p>
    <w:p w:rsidR="00A61D5E" w:rsidRDefault="00B142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</w:t>
      </w:r>
      <w:r>
        <w:rPr>
          <w:rFonts w:ascii="Times New Roman" w:hAnsi="Times New Roman" w:cs="Times New Roman"/>
        </w:rPr>
        <w:t xml:space="preserve"> директора муниципального казенного учреждения «Олимп» </w:t>
      </w:r>
    </w:p>
    <w:p w:rsidR="00A61D5E" w:rsidRDefault="00B142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t>«Началовский сельсовет» и членов его семьи  за период с 1 января по 31 декабря 20</w:t>
      </w:r>
      <w:r w:rsidRPr="00B14258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года</w:t>
      </w:r>
    </w:p>
    <w:p w:rsidR="00A61D5E" w:rsidRDefault="00A61D5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35" w:type="dxa"/>
        <w:tblInd w:w="26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9"/>
        <w:gridCol w:w="1130"/>
        <w:gridCol w:w="1417"/>
        <w:gridCol w:w="1015"/>
        <w:gridCol w:w="1388"/>
        <w:gridCol w:w="1332"/>
        <w:gridCol w:w="1559"/>
        <w:gridCol w:w="1047"/>
        <w:gridCol w:w="1348"/>
      </w:tblGrid>
      <w:tr w:rsidR="00A61D5E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A61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Деклари рованный годовой доход за 20</w:t>
            </w:r>
            <w:r w:rsidRPr="00B1425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Перечень </w:t>
            </w:r>
            <w:r>
              <w:rPr>
                <w:rFonts w:ascii="Times New Roman" w:hAnsi="Times New Roman" w:cs="Times New Roman"/>
              </w:rPr>
              <w:t>объектов недвижимого имущества, находящихся в пользовании</w:t>
            </w:r>
          </w:p>
        </w:tc>
      </w:tr>
      <w:tr w:rsidR="00A61D5E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A61D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A61D5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61D5E">
        <w:trPr>
          <w:trHeight w:val="24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Кулов Тимур Науанович</w:t>
            </w:r>
          </w:p>
          <w:p w:rsidR="00A61D5E" w:rsidRDefault="00A61D5E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562251,93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A61D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A61D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илой дом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121,40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61D5E">
        <w:trPr>
          <w:trHeight w:val="24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  <w:p w:rsidR="00A61D5E" w:rsidRDefault="00A61D5E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A61D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A61D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илой дом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A61D5E" w:rsidRDefault="00A61D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1D5E" w:rsidRDefault="00A61D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1D5E" w:rsidRDefault="00B142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</w:t>
      </w:r>
      <w:r>
        <w:rPr>
          <w:rFonts w:ascii="Times New Roman" w:hAnsi="Times New Roman" w:cs="Times New Roman"/>
        </w:rPr>
        <w:t>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 директора муниципального казенного учреждения «Олимп» муниципального о</w:t>
      </w:r>
      <w:r>
        <w:rPr>
          <w:rFonts w:ascii="Times New Roman" w:hAnsi="Times New Roman" w:cs="Times New Roman"/>
        </w:rPr>
        <w:t>бразования «Началовский сельсовет»  за три последних года, предшествующих отчетному периоду</w:t>
      </w:r>
    </w:p>
    <w:p w:rsidR="00A61D5E" w:rsidRDefault="00A61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930" w:type="dxa"/>
        <w:tblInd w:w="403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4816"/>
        <w:gridCol w:w="4570"/>
      </w:tblGrid>
      <w:tr w:rsidR="00A61D5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A61D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Имущество, приобретенное по сделкам (сделке),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Источник получения средств, за счет которых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приобретено имущество </w:t>
            </w:r>
          </w:p>
        </w:tc>
      </w:tr>
      <w:tr w:rsidR="00A61D5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Кулов Тимур Науанович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A61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5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A61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D5E" w:rsidRDefault="00A61D5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D5E" w:rsidRDefault="00A61D5E">
      <w:pPr>
        <w:rPr>
          <w:sz w:val="20"/>
          <w:szCs w:val="20"/>
        </w:rPr>
      </w:pPr>
    </w:p>
    <w:p w:rsidR="00A61D5E" w:rsidRDefault="00A61D5E">
      <w:pPr>
        <w:rPr>
          <w:sz w:val="20"/>
          <w:szCs w:val="20"/>
        </w:rPr>
      </w:pPr>
    </w:p>
    <w:p w:rsidR="00A61D5E" w:rsidRDefault="00B142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   директора муниципального казенного учреждения «Контракт-Н» </w:t>
      </w:r>
    </w:p>
    <w:p w:rsidR="00A61D5E" w:rsidRDefault="00B142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муниципального образования «Началовский сельсовет» и </w:t>
      </w:r>
      <w:r>
        <w:rPr>
          <w:rFonts w:ascii="Times New Roman" w:hAnsi="Times New Roman" w:cs="Times New Roman"/>
        </w:rPr>
        <w:t>членов его семьи  за период с 1 января по 31 декабря 20</w:t>
      </w:r>
      <w:r w:rsidRPr="00B14258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года</w:t>
      </w:r>
    </w:p>
    <w:p w:rsidR="00A61D5E" w:rsidRDefault="00A61D5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35" w:type="dxa"/>
        <w:tblInd w:w="26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85"/>
        <w:gridCol w:w="1258"/>
        <w:gridCol w:w="1553"/>
        <w:gridCol w:w="1121"/>
        <w:gridCol w:w="1342"/>
        <w:gridCol w:w="1332"/>
        <w:gridCol w:w="1554"/>
        <w:gridCol w:w="1042"/>
        <w:gridCol w:w="1348"/>
      </w:tblGrid>
      <w:tr w:rsidR="00A61D5E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A61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Деклари рованный годовой доход за 20</w:t>
            </w:r>
            <w:r w:rsidRPr="00B1425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</w:t>
            </w:r>
            <w:r>
              <w:rPr>
                <w:rFonts w:ascii="Times New Roman" w:hAnsi="Times New Roman" w:cs="Times New Roman"/>
              </w:rPr>
              <w:t xml:space="preserve"> находящихся в пользовании</w:t>
            </w:r>
          </w:p>
        </w:tc>
      </w:tr>
      <w:tr w:rsidR="00A61D5E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A61D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A61D5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61D5E">
        <w:trPr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color w:val="00000A"/>
                <w:sz w:val="20"/>
                <w:szCs w:val="20"/>
              </w:rPr>
              <w:t xml:space="preserve">Дробжев Дмитрий </w:t>
            </w:r>
          </w:p>
          <w:p w:rsidR="00A61D5E" w:rsidRDefault="00B14258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color w:val="00000A"/>
                <w:sz w:val="20"/>
                <w:szCs w:val="20"/>
              </w:rPr>
              <w:t>Анатольевич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539444,74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  <w:p w:rsidR="00A61D5E" w:rsidRDefault="00A61D5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Квартира общая </w:t>
            </w:r>
            <w:r>
              <w:rPr>
                <w:rFonts w:eastAsia="Calibri"/>
                <w:sz w:val="20"/>
                <w:szCs w:val="20"/>
              </w:rPr>
              <w:t>совместная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39,3</w:t>
            </w:r>
          </w:p>
          <w:p w:rsidR="00A61D5E" w:rsidRDefault="00A61D5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65,3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A61D5E" w:rsidRDefault="00A61D5E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Легковой автомобиль Хундай Солярис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A61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A61D5E">
            <w:pPr>
              <w:jc w:val="center"/>
              <w:rPr>
                <w:sz w:val="20"/>
                <w:szCs w:val="20"/>
              </w:rPr>
            </w:pPr>
          </w:p>
        </w:tc>
      </w:tr>
      <w:tr w:rsidR="00A61D5E">
        <w:trPr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Сын</w:t>
            </w:r>
          </w:p>
          <w:p w:rsidR="00A61D5E" w:rsidRDefault="00A61D5E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A61D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A61D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A61D5E" w:rsidRDefault="00A61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D5E" w:rsidRDefault="00B142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</w:t>
      </w:r>
      <w:r>
        <w:rPr>
          <w:rFonts w:ascii="Times New Roman" w:hAnsi="Times New Roman" w:cs="Times New Roman"/>
        </w:rPr>
        <w:t>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 директора муниципального казенног</w:t>
      </w:r>
      <w:r>
        <w:rPr>
          <w:rFonts w:ascii="Times New Roman" w:hAnsi="Times New Roman" w:cs="Times New Roman"/>
        </w:rPr>
        <w:t>о учреждения «Контракт-Н» муниципального образования «Началовский сельсовет»  за три последних года, предшествующих отчетному периоду</w:t>
      </w:r>
    </w:p>
    <w:p w:rsidR="00A61D5E" w:rsidRDefault="00A61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930" w:type="dxa"/>
        <w:tblInd w:w="403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4816"/>
        <w:gridCol w:w="4570"/>
      </w:tblGrid>
      <w:tr w:rsidR="00A61D5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A61D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</w:t>
            </w:r>
            <w:r>
              <w:rPr>
                <w:rFonts w:ascii="Times New Roman" w:hAnsi="Times New Roman" w:cs="Times New Roman"/>
              </w:rPr>
              <w:t xml:space="preserve">должность, и его супруги (супруга) за последних три года,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предшествующих отчетному периоду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Источник получения средств, за счет которых приобретено имущество </w:t>
            </w:r>
          </w:p>
        </w:tc>
      </w:tr>
      <w:tr w:rsidR="00A61D5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Дробжев Дмитрий</w:t>
            </w:r>
          </w:p>
          <w:p w:rsidR="00A61D5E" w:rsidRDefault="00B142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A61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5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A61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D5E" w:rsidRDefault="00A61D5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D5E" w:rsidRDefault="00A61D5E">
      <w:pPr>
        <w:rPr>
          <w:sz w:val="20"/>
          <w:szCs w:val="20"/>
        </w:rPr>
      </w:pPr>
    </w:p>
    <w:p w:rsidR="00A61D5E" w:rsidRDefault="00B142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   директора муниципального бюджетного учреждения культуры «Анютино» </w:t>
      </w:r>
    </w:p>
    <w:p w:rsidR="00A61D5E" w:rsidRDefault="00B142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муниципального образования «Началовский сельсовет» и членов его семьи  за период с 1 января по 31 декабря 20</w:t>
      </w:r>
      <w:r w:rsidRPr="00B14258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года</w:t>
      </w:r>
    </w:p>
    <w:p w:rsidR="00A61D5E" w:rsidRDefault="00A61D5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35" w:type="dxa"/>
        <w:tblInd w:w="26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4"/>
        <w:gridCol w:w="1266"/>
        <w:gridCol w:w="1558"/>
        <w:gridCol w:w="1015"/>
        <w:gridCol w:w="1388"/>
        <w:gridCol w:w="1332"/>
        <w:gridCol w:w="1558"/>
        <w:gridCol w:w="987"/>
        <w:gridCol w:w="1407"/>
      </w:tblGrid>
      <w:tr w:rsidR="00A61D5E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A61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Деклари рованный годовой доход за 20</w:t>
            </w:r>
            <w:r w:rsidRPr="00B1425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61D5E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A61D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A61D5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61D5E">
        <w:trPr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Кубашева Кристина Владимировна</w:t>
            </w:r>
          </w:p>
          <w:p w:rsidR="00A61D5E" w:rsidRDefault="00A61D5E">
            <w:pPr>
              <w:spacing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427023,95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A61D5E" w:rsidRDefault="00A61D5E">
            <w:pPr>
              <w:jc w:val="center"/>
              <w:rPr>
                <w:sz w:val="20"/>
                <w:szCs w:val="20"/>
              </w:rPr>
            </w:pPr>
          </w:p>
          <w:p w:rsidR="00A61D5E" w:rsidRDefault="00B1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61D5E" w:rsidRDefault="00A61D5E">
            <w:pPr>
              <w:jc w:val="center"/>
              <w:rPr>
                <w:sz w:val="20"/>
                <w:szCs w:val="20"/>
              </w:rPr>
            </w:pPr>
          </w:p>
          <w:p w:rsidR="00A61D5E" w:rsidRDefault="00B1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 совместная</w:t>
            </w:r>
          </w:p>
          <w:p w:rsidR="00A61D5E" w:rsidRDefault="00A61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624,0</w:t>
            </w:r>
          </w:p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61D5E" w:rsidRDefault="00B1425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61D5E" w:rsidRDefault="00B1425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61D5E" w:rsidRDefault="00B1425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A61D5E" w:rsidRDefault="00B1425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Легковой автомобиль Мазда 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A61D5E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  <w:tr w:rsidR="00A61D5E">
        <w:trPr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A61D5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A61D5E" w:rsidRDefault="00B1425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A61D5E" w:rsidRDefault="00A61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D5E" w:rsidRDefault="00A61D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1D5E" w:rsidRDefault="00A61D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1D5E" w:rsidRDefault="00B142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</w:t>
      </w:r>
      <w:r>
        <w:rPr>
          <w:rFonts w:ascii="Times New Roman" w:hAnsi="Times New Roman" w:cs="Times New Roman"/>
        </w:rPr>
        <w:t xml:space="preserve">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 директора муниципального бюджетного учреждения </w:t>
      </w:r>
      <w:r>
        <w:rPr>
          <w:rFonts w:ascii="Times New Roman" w:hAnsi="Times New Roman" w:cs="Times New Roman"/>
        </w:rPr>
        <w:t>культуры «Анютино» муниципального образования «Началовский сельсовет»  за три последних года, предшествующих отчетному периоду</w:t>
      </w:r>
    </w:p>
    <w:p w:rsidR="00A61D5E" w:rsidRDefault="00A61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930" w:type="dxa"/>
        <w:tblInd w:w="403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4816"/>
        <w:gridCol w:w="4570"/>
      </w:tblGrid>
      <w:tr w:rsidR="00A61D5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A61D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Имущество, приобретенное по сделкам (сделке), общая сумма которых превышает общий доход лица, </w:t>
            </w:r>
            <w:r>
              <w:rPr>
                <w:rFonts w:ascii="Times New Roman" w:hAnsi="Times New Roman" w:cs="Times New Roman"/>
              </w:rPr>
              <w:lastRenderedPageBreak/>
              <w:t xml:space="preserve">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Источник получения средств, за счет которых </w:t>
            </w:r>
            <w:r>
              <w:rPr>
                <w:rFonts w:ascii="Times New Roman" w:hAnsi="Times New Roman" w:cs="Times New Roman"/>
              </w:rPr>
              <w:t xml:space="preserve">приобретено имущество </w:t>
            </w:r>
          </w:p>
        </w:tc>
      </w:tr>
      <w:tr w:rsidR="00A61D5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Кубашева Кристина Владимировна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A61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5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B14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5E" w:rsidRDefault="00A61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D5E" w:rsidRDefault="00A61D5E">
      <w:pPr>
        <w:rPr>
          <w:sz w:val="20"/>
          <w:szCs w:val="20"/>
        </w:rPr>
      </w:pPr>
    </w:p>
    <w:p w:rsidR="00B14258" w:rsidRDefault="00B14258">
      <w:pPr>
        <w:rPr>
          <w:sz w:val="20"/>
          <w:szCs w:val="20"/>
        </w:rPr>
      </w:pPr>
    </w:p>
    <w:p w:rsidR="00B14258" w:rsidRDefault="00B14258" w:rsidP="00B142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   директора муниципального казенного учреждения «Контракт-Н» </w:t>
      </w:r>
    </w:p>
    <w:p w:rsidR="00B14258" w:rsidRDefault="00B14258" w:rsidP="00B142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муниципального образования «Началовский сельсовет» и членов его семьи  за период с 1 января по 31 декабря 20</w:t>
      </w:r>
      <w:r w:rsidRPr="00B14258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года</w:t>
      </w:r>
    </w:p>
    <w:p w:rsidR="00B14258" w:rsidRDefault="00B14258" w:rsidP="00B1425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35" w:type="dxa"/>
        <w:tblInd w:w="26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2"/>
        <w:gridCol w:w="1129"/>
        <w:gridCol w:w="1417"/>
        <w:gridCol w:w="1015"/>
        <w:gridCol w:w="1388"/>
        <w:gridCol w:w="1332"/>
        <w:gridCol w:w="1558"/>
        <w:gridCol w:w="1046"/>
        <w:gridCol w:w="1348"/>
      </w:tblGrid>
      <w:tr w:rsidR="00B14258" w:rsidTr="00B14258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58" w:rsidRDefault="00B14258" w:rsidP="00CA3FBA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Ф.И.О, должность лица, </w:t>
            </w:r>
          </w:p>
          <w:p w:rsidR="00B14258" w:rsidRDefault="00B14258" w:rsidP="00CA3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чьи сведения размещаются 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58" w:rsidRDefault="00B14258" w:rsidP="00CA3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Деклари рованный годовой доход за 20</w:t>
            </w:r>
            <w:r w:rsidRPr="00B1425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58" w:rsidRDefault="00B14258" w:rsidP="00CA3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58" w:rsidRDefault="00B14258" w:rsidP="00CA3F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14258" w:rsidTr="00B14258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58" w:rsidRDefault="00B14258" w:rsidP="00CA3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58" w:rsidRDefault="00B14258" w:rsidP="00CA3FB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58" w:rsidRDefault="00B14258" w:rsidP="00CA3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58" w:rsidRDefault="00B14258" w:rsidP="00CA3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58" w:rsidRDefault="00B14258" w:rsidP="00CA3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58" w:rsidRDefault="00B14258" w:rsidP="00CA3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58" w:rsidRDefault="00B14258" w:rsidP="00CA3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58" w:rsidRDefault="00B14258" w:rsidP="00CA3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58" w:rsidRDefault="00B14258" w:rsidP="00CA3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B14258" w:rsidTr="00B14258">
        <w:trPr>
          <w:trHeight w:val="2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B14258" w:rsidRDefault="00B14258" w:rsidP="00CA3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Ерошенко Алевтина Дмитриевна</w:t>
            </w:r>
          </w:p>
          <w:p w:rsidR="00B14258" w:rsidRDefault="00B14258" w:rsidP="00CA3FB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B14258" w:rsidRPr="00B14258" w:rsidRDefault="00B14258" w:rsidP="00CA3FB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552744,82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B14258" w:rsidRDefault="00B14258" w:rsidP="00B1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B14258" w:rsidRDefault="00B14258" w:rsidP="00B14258">
            <w:pPr>
              <w:jc w:val="center"/>
              <w:rPr>
                <w:sz w:val="20"/>
                <w:szCs w:val="20"/>
              </w:rPr>
            </w:pPr>
          </w:p>
          <w:p w:rsidR="00B14258" w:rsidRDefault="00B14258" w:rsidP="00B1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B14258" w:rsidRDefault="00B14258" w:rsidP="00B1425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</w:t>
            </w:r>
          </w:p>
          <w:p w:rsidR="00B14258" w:rsidRDefault="00B14258" w:rsidP="00B1425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14258" w:rsidRDefault="00B14258" w:rsidP="00B1425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14258" w:rsidRDefault="00B14258" w:rsidP="00B1425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14258" w:rsidRDefault="00B14258" w:rsidP="00B14258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B14258" w:rsidRDefault="00B14258" w:rsidP="00B1425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4258" w:rsidRDefault="00B14258" w:rsidP="00B1425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14258" w:rsidRDefault="00B14258" w:rsidP="00B1425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14258" w:rsidRDefault="00B14258" w:rsidP="00B14258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14258" w:rsidRDefault="00B14258" w:rsidP="00B1425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B14258" w:rsidRDefault="00B14258" w:rsidP="00CA3FB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B14258" w:rsidRDefault="00B14258" w:rsidP="00CA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B14258" w:rsidRDefault="00B14258" w:rsidP="00CA3FB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B14258" w:rsidRDefault="00B14258" w:rsidP="00CA3FB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4258" w:rsidRDefault="00B14258" w:rsidP="00CA3FB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14258" w:rsidRDefault="00B14258" w:rsidP="00CA3FB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  <w:tr w:rsidR="00B14258" w:rsidTr="00B14258">
        <w:trPr>
          <w:trHeight w:val="125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B14258" w:rsidRDefault="00B14258" w:rsidP="00CA3FB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B14258" w:rsidRDefault="00B14258" w:rsidP="00CA3FB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B14258" w:rsidRDefault="00B14258" w:rsidP="00CA3FB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B14258" w:rsidRDefault="00B14258" w:rsidP="00CA3FB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B14258" w:rsidRDefault="00B14258" w:rsidP="00CA3FB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B14258" w:rsidRDefault="00B14258" w:rsidP="00CA3FB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Грузовой автомобиль Митсубиси</w:t>
            </w:r>
          </w:p>
          <w:p w:rsidR="00B14258" w:rsidRDefault="00B14258" w:rsidP="00CA3FB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B14258" w:rsidRDefault="00B14258" w:rsidP="00B1425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Лекговой автомобиль Киа Рио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B14258" w:rsidRDefault="00B14258" w:rsidP="00CA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B14258" w:rsidRDefault="00B14258" w:rsidP="00CA3FB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B14258" w:rsidRDefault="00B14258" w:rsidP="00CA3FB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  <w:tr w:rsidR="00B14258" w:rsidTr="00B14258">
        <w:trPr>
          <w:trHeight w:val="2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B14258" w:rsidRDefault="00B14258" w:rsidP="00CA3FB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B14258" w:rsidRDefault="00B14258" w:rsidP="00CA3FB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B14258" w:rsidRDefault="00B14258" w:rsidP="00CA3FB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B14258" w:rsidRDefault="00B14258" w:rsidP="00CA3FB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B14258" w:rsidRDefault="00B14258" w:rsidP="00CA3FB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B14258" w:rsidRDefault="00B14258" w:rsidP="00CA3FB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B14258" w:rsidRDefault="00B14258" w:rsidP="00CA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B14258" w:rsidRDefault="00B14258" w:rsidP="00CA3FB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B14258" w:rsidRDefault="00B14258" w:rsidP="00CA3FB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4258" w:rsidRDefault="00B14258" w:rsidP="00CA3FB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14258" w:rsidRDefault="00B14258" w:rsidP="00CA3FB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  <w:tr w:rsidR="00B14258" w:rsidTr="00B14258">
        <w:trPr>
          <w:trHeight w:val="2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B14258" w:rsidRDefault="00B14258" w:rsidP="00CA3FB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B14258" w:rsidRDefault="00B14258" w:rsidP="00CA3FB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B14258" w:rsidRDefault="00B14258" w:rsidP="00CA3FB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B14258" w:rsidRDefault="00B14258" w:rsidP="00CA3FB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B14258" w:rsidRDefault="00B14258" w:rsidP="00CA3FB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B14258" w:rsidRDefault="00B14258" w:rsidP="00CA3FB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B14258" w:rsidRDefault="00B14258" w:rsidP="00CA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B14258" w:rsidRDefault="00B14258" w:rsidP="00CA3FB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B14258" w:rsidRDefault="00B14258" w:rsidP="00CA3FB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14258" w:rsidRDefault="00B14258" w:rsidP="00CA3FB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14258" w:rsidRDefault="00B14258" w:rsidP="00CA3FBA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</w:tbl>
    <w:p w:rsidR="00B14258" w:rsidRDefault="00B14258" w:rsidP="00B142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4258" w:rsidRDefault="00B14258" w:rsidP="00B142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4258" w:rsidRDefault="00B14258" w:rsidP="00B142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 директора муниципального казенного учреждения «Контракт-Н» муниципального образования «Началовский сельсовет»  за три последних года, предшествующих отчетному периоду</w:t>
      </w:r>
    </w:p>
    <w:p w:rsidR="00B14258" w:rsidRDefault="00B14258" w:rsidP="00B14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930" w:type="dxa"/>
        <w:tblInd w:w="403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4816"/>
        <w:gridCol w:w="4570"/>
      </w:tblGrid>
      <w:tr w:rsidR="00B14258" w:rsidTr="00CA3FB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58" w:rsidRDefault="00B14258" w:rsidP="00CA3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58" w:rsidRDefault="00B14258" w:rsidP="00CA3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58" w:rsidRDefault="00B14258" w:rsidP="00CA3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B14258" w:rsidTr="00CA3FB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58" w:rsidRPr="00B14258" w:rsidRDefault="00B14258" w:rsidP="00B142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Ерошенко Алевтина Дмитриевна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58" w:rsidRDefault="00B14258" w:rsidP="00CA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58" w:rsidRDefault="00B14258" w:rsidP="00CA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58" w:rsidTr="00CA3FB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58" w:rsidRDefault="00B14258" w:rsidP="00CA3F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58" w:rsidRDefault="00B14258" w:rsidP="00CA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58" w:rsidRDefault="00B14258" w:rsidP="00CA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58" w:rsidTr="00CA3FB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58" w:rsidRDefault="00B14258" w:rsidP="00CA3F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58" w:rsidRDefault="00B14258" w:rsidP="00CA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58" w:rsidRDefault="00B14258" w:rsidP="00CA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58" w:rsidTr="00CA3FB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58" w:rsidRDefault="00B14258" w:rsidP="00CA3F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58" w:rsidRDefault="00B14258" w:rsidP="00CA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58" w:rsidRDefault="00B14258" w:rsidP="00CA3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258" w:rsidRDefault="00B14258" w:rsidP="00B1425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4258" w:rsidRDefault="00B14258">
      <w:pPr>
        <w:rPr>
          <w:sz w:val="20"/>
          <w:szCs w:val="20"/>
        </w:rPr>
      </w:pPr>
    </w:p>
    <w:sectPr w:rsidR="00B14258" w:rsidSect="00A61D5E">
      <w:pgSz w:w="16838" w:h="11906" w:orient="landscape"/>
      <w:pgMar w:top="1134" w:right="195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A61D5E"/>
    <w:rsid w:val="00A61D5E"/>
    <w:rsid w:val="00B1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CB5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rsid w:val="00A61D5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A61D5E"/>
    <w:pPr>
      <w:spacing w:after="140" w:line="276" w:lineRule="auto"/>
    </w:pPr>
  </w:style>
  <w:style w:type="paragraph" w:styleId="a6">
    <w:name w:val="List"/>
    <w:basedOn w:val="a5"/>
    <w:rsid w:val="00A61D5E"/>
    <w:rPr>
      <w:rFonts w:cs="Lucida Sans"/>
    </w:rPr>
  </w:style>
  <w:style w:type="paragraph" w:customStyle="1" w:styleId="Caption">
    <w:name w:val="Caption"/>
    <w:basedOn w:val="a"/>
    <w:qFormat/>
    <w:rsid w:val="00A61D5E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A61D5E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E5729"/>
    <w:pPr>
      <w:widowControl w:val="0"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ConsPlusNonformat">
    <w:name w:val="ConsPlusNonformat"/>
    <w:uiPriority w:val="99"/>
    <w:qFormat/>
    <w:rsid w:val="000E5729"/>
    <w:pPr>
      <w:widowControl w:val="0"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a8">
    <w:name w:val="Верхний и нижний колонтитулы"/>
    <w:basedOn w:val="a"/>
    <w:qFormat/>
    <w:rsid w:val="00A61D5E"/>
  </w:style>
  <w:style w:type="paragraph" w:customStyle="1" w:styleId="Header">
    <w:name w:val="Header"/>
    <w:basedOn w:val="a"/>
    <w:rsid w:val="00CB5BC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a9">
    <w:name w:val="Содержимое таблицы"/>
    <w:basedOn w:val="a"/>
    <w:qFormat/>
    <w:rsid w:val="00A61D5E"/>
    <w:pPr>
      <w:suppressLineNumbers/>
    </w:pPr>
  </w:style>
  <w:style w:type="paragraph" w:customStyle="1" w:styleId="aa">
    <w:name w:val="Заголовок таблицы"/>
    <w:basedOn w:val="a9"/>
    <w:qFormat/>
    <w:rsid w:val="00A61D5E"/>
    <w:pPr>
      <w:jc w:val="center"/>
    </w:pPr>
    <w:rPr>
      <w:b/>
      <w:bCs/>
    </w:rPr>
  </w:style>
  <w:style w:type="table" w:styleId="ab">
    <w:name w:val="Table Grid"/>
    <w:basedOn w:val="a1"/>
    <w:rsid w:val="005157DA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728D-25BB-4BA2-9F66-56C94804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8</Pages>
  <Words>1864</Words>
  <Characters>10627</Characters>
  <Application>Microsoft Office Word</Application>
  <DocSecurity>0</DocSecurity>
  <Lines>88</Lines>
  <Paragraphs>24</Paragraphs>
  <ScaleCrop>false</ScaleCrop>
  <Company>Администрация МО "Началовский сельсовет"</Company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dc:description/>
  <cp:lastModifiedBy>Пользователь</cp:lastModifiedBy>
  <cp:revision>63</cp:revision>
  <dcterms:created xsi:type="dcterms:W3CDTF">2017-04-03T06:10:00Z</dcterms:created>
  <dcterms:modified xsi:type="dcterms:W3CDTF">2022-05-18T11:04:00Z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МО "Началовский сельсовет"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